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2011/141 vom 4. April 2013</w:t>
      </w:r>
    </w:p>
    <w:p>
      <w:r>
        <w:t>Sg Versicherungsgericht, 2013-04-04, DE</w:t>
      </w:r>
    </w:p>
    <w:p>
      <w:r>
        <w:rPr>
          <w:b/>
        </w:rPr>
        <w:t xml:space="preserve">Quelle: </w:t>
      </w:r>
      <w:r>
        <w:t>https://mcp.opencaselaw.ch/entscheid/sg_publikationen_IV 2011_141</w:t>
      </w:r>
    </w:p>
    <w:p>
      <w:r>
        <w:t>FR: SG_VERSICHERUNGSGERICHT IV 2011/141 du 4 avril 2013</w:t>
      </w:r>
    </w:p>
    <w:p>
      <w:r>
        <w:t>IT: SG_VERSICHERUNGSGERICHT IV 2011/141 del 4 aprile 2013</w:t>
      </w:r>
    </w:p>
    <w:p>
      <w:pPr>
        <w:pStyle w:val="Heading2"/>
      </w:pPr>
      <w:r>
        <w:t>Regeste</w:t>
      </w:r>
    </w:p>
    <w:p>
      <w:r>
        <w:t>Art. 28a Abs. 3 IVG. Ablehnung des Rentenanspruchs einer im Gesundheitsfall teilzeitlich erwerbstätigen Person (Entscheid des Versicherungsgerichts des Kantons St.Gallen vom 4. April 2013, IV 2011/141).</w:t>
      </w:r>
    </w:p>
    <w:p>
      <w:pPr>
        <w:pStyle w:val="Heading2"/>
      </w:pPr>
      <w:r>
        <w:t>Erwägungen</w:t>
      </w:r>
    </w:p>
    <w:p>
      <w:r>
        <w:rPr>
          <w:b/>
        </w:rPr>
        <w:t>E. 1</w:t>
      </w:r>
    </w:p>
    <w:p>
      <w:r>
        <w:t>Streitig und zu prüfen ist die Frage, ob die Beschwerdeführerin einen Anspruch auf Rentenleistungen der Invalidenversicherung hat.</w:t>
      </w:r>
    </w:p>
    <w:p>
      <w:r>
        <w:rPr>
          <w:b/>
        </w:rPr>
        <w:t>E. 2</w:t>
      </w:r>
    </w:p>
    <w:p>
      <w:r>
        <w:t>Rechtsprechungsgemäss stellt das Sozialversicherungsgericht auf den bis zum Zeitpunkt des Erlasses der streitigen Verfügung (vorliegend: 10. März 2011) eingetretenen Sachverhalt ab (BGE 132 V 220 E. 3.1.1 mit Hinweisen). Später eingetretene Tat­sachen, die zu einer Änderung des Sachverhalts geführt haben, sind grundsätzlich nicht im Rahmen des hängigen Gerichtsverfahrens, sondern im Rahmen einer allfälligen Neuanmeldung bei der IV zu berücksichtigen (BGE 121 V 366 E. 1b mit Hinweisen). Soweit die Beschwerdeführerin in der Replik vom 4. Juli 2011 geltend macht, seit ca. einer Woche an mehreren Fingern unter einer Gefühllosigkeit zu leiden (act. G 8), ist dies daher im vorliegenden Verfahren nicht zu berücksichtigen.</w:t>
      </w:r>
    </w:p>
    <w:p>
      <w:r>
        <w:rPr>
          <w:b/>
        </w:rPr>
        <w:t>E. 3</w:t>
      </w:r>
    </w:p>
    <w:p>
      <w:r>
        <w:t>3.1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4</w:t>
      </w:r>
    </w:p>
    <w:p>
      <w:r>
        <w:t>4.1    Vorab zu klären ist die Frage, ob die medizinische Aktenlage eine rechtsgenügliche Beurteilung der Restarbeitsfähigkeit der Beschwerdeführerin erlaubt. Die Beschwerdegegnerin stützte sich in der angefochtenen Verfügung auf das SMAB-Gutachten vom 17. Juni 2010 (act. G 5.1.48). 4.2    Hinsichtlich der rheumatologischen Teilbegutachtung wurde im Hauptgutachten festgehalten, dass die Zusammenschau von Anamnese, persönlicher Untersuchung sowie vorliegenden Aktenstücken bei der Beschwerdeführerin die Situation eines offensichtlich entzündlichen Gelenkleidens widerspiegle, welches dokumentiert im Januar 2008 mit bilateralen Handschmerzen und -schwellungen begonnen und bisher nicht genau habe klassiert werden können. Dies sei auch in der Begutachtung nicht präziser möglich gewesen. In Frage kämen in der Tat die vom rheumatologischen Behandler schon diskutierten Differentialdiagnosen einer klassischen, seronegativen rheumatoiden Arthritis, es gebe aber auch kutane Hinweise auf die Möglichkeit einer Psoriasis-assoziierten Arthritis, schliesslich auch den möglichen Zusammenhang mit dem vor­liegenden hämatologischen Leiden einer Thalassaemia minor. Sämtliche Differentialdiagnosen seien nicht durch eindeutige klinische Zeichen oder Laborbefunde zu sichern, sondern würden im Allgemeinen erst im Verlauf klarer. Festzuhalten sei jedoch, dass das Leiden an den wechselnd befallenen Gelenken (zumeist aber doch an den Grundgelenken der linken Hand, aktuell des Zeige- und Mittelfingers) zu keinen bleibenden Schädigungen geführt habe, was Fehlstellungen oder radiologisch fassbare Veränderungen betreffe. Aktuell scheine der klinisch fassbare Gelenksbefall eher diskret mit leichten, kaum von der Adipositas abgrenzbaren Schwellungen der Fingergrundgelenke II und III links (bei etwas reduzierter Faustschlusskraft) sowie unklaren, objektiv-klinisch nicht fassbaren Schmerzen im linken oberen Sprunggelenk bei passiven Gelenks­bewegungen und bei der Gehbelastung. Die Laboruntersuchungen der letzten beiden Jahre würden einen leicht-mässigen Entzündungszustand wechselnder Intensität dokumentieren. Daraus ergebe sich ein Belastungsprofil, wonach Tätigkeiten mit vorwiegend (aber nicht ausschliesslich) sitzender Position unter Einsatz des Körpers und der Hände im leichten bis mittleren Bereich ohne spezielle Kraftanwendung (insbesondere Druck auf die Fingergelenke) und ohne über längere Zeit erforderliche stereotype Repetitionen in einem Zeitrahmen von 80% Leistungsfähigkeit bei voller Präsenzzeit denkbar und zumutbar seien. Eine mechanische Arbeit an schweren Industriemaschinen komme allerdings nicht mehr in Frage. Leichte körperlich und insbesondere die Hände nicht be­lastende Tätigkeiten (Kontrollarbeiten, Telefonbedienung etc.) seien in vollem zeitlichen und leistungsmässigen Ausmass zumutbar (act. G 5.1.48-36ff.). 4.3    Das psychiatrische Teilgutachten vom 12. Mai 2010 fasste zusammen, dass sich die Beschwerdeführerin durch die therapeutischen Massnahmen aus der Abhängigkeit von ihrem Partner und der Mutter habe befreien können und dabei sei, ihr Leben in jeder Hinsicht neu zu ordnen. Der aktuelle psychische Befund der Beschwerdeführerin sei gänzlich unauffällig. Es bestünden keine Störungen im Kontaktverhalten, der Aufmerksamkeit, der Konzentration, der Willensbildung, des Antriebs und der Psychomotorik. Affektiv sei die Beschwerdeführerin in emotionaler Hinsicht gut schwingungsfähig. Sie wirke freundlich und ihre Stimmungslage sei ausgeglichen. Da die Realitätsorientierung und der Realitätsbezug vollständig erhalten seien, bestünden auch in prognostischer Hinsicht positive Aussichten. Bereits jetzt sei die Beschwerdeführerin in der Lage, ihrem Beruf einer Kassiererin oder Arbeiterin in einer Druckerei in vollem Umfang nachzugehen. Damit entspreche die gutachterliche Arbeitsfähigkeitseinschätzung auch der Beobachtung des Psychiatrie-Zentrums Rheintal im Bericht vom 29. Oktober 2009 (act. G 5.1.48-28f.). 4.4    In der gesamtgutachterlichen Würdigung kamen die Experten zum Schluss, dass die Beschwerdeführerin für leidensangepasste Tätigkeiten über eine 100%ige Rest­arbeitsfähigkeit verfüge. In bisherigen Tätigkeiten bestehe eine Arbeitsfähigkeit von 80%, mit einer Leistungsminderung um 20% bei vollem Pensum, mit der Einschränkung, dass Arbeit an schweren Industriemaschinen nicht mehr zumutbar sei. Führend für die Beurteilung der Arbeitsfähigkeit sei das entzündliche Gelenkleiden, das ätiologisch nicht klar zuzuordnen sei. Differentialdiagnostisch komme vor allem eine seronegative rheumatoide Arthritis und eine Psoriasis-assoziierte Arthritis in Frage. Auch ein Zusammenhang mit der Thalassaemie sei möglich, bei Thalassaemia minor würden leichte Arthropathien, insbesondere der Hand- und der Sprunggelenke, beschrieben. Die Ausprägung der Arthritis sei bei der Beschwerdeführerin leicht mit Lokalisationen aktuell nur im Bereich der linken Hand und des linken Sprunggelenks. Aus gutachterlicher rheumatologischer Sicht bestünden weitere Behandlungsoptionen der Arthritis, die in Betracht gezogen werden sollten, da eine klinische Remission weiterhin nicht habe erreicht werden können. Auf die Therapiecompliance müsse zudem geachtet werden. Die anamnestisch bekannte und familiär vorkommende Thalassaemia minor manifestiere sich im roten Blutbild mit leichter mikrozytärer Anämie. Wegen der massiven Adipositas erfolge eine Behandlung mit Xenical, die zu einer Gewichtsreduktion von 16kg innert des letzten Jahres geführt habe. Um spätere Komplikationen zu vermeiden sei eine weitere Gewichtsreduktion/Gewichtsnormalisierung dringend angezeigt. Aus psychiatrischer Sicht bestünden keine Diagnosen, welche die Arbeitsfähigkeit einschränken würden (act. G 5.1.48). 4.5    Die Beschwerdeführerin bemängelt am Gutachten die Höhe der ihr attestierten Arbeitsfähigkeit. Sowohl ihr Hausarzt Dr. C.___ als auch Dr. D.___ würden die Prognose ihres Krankheitsverlaufs eher zweifelhaft bis schlecht einschätzen. Im Bericht vom 28. März 2011 hielt Dr. D.___ eine Arbeitsfähigkeit von 50% (halbtags) in einer leichten Arbeit für angemessen. Die Arbeitsfähigkeit von 80% in den bisherigen Tätigkeiten der Patientin (zuletzt Kassiererin) scheine ihm angesichts der auch im MRI nachgewiesenen klaren Entzündungen der Hände nicht realistisch. Eine sehr leichte Arbeit der Hände, z.B. eine kaufmännische Tätigkeit mit geringen Belastungen oder eine Tätigkeit am Telefon mit Kopfhörern, könne sie möglicherweise zu 60-80% ausführen, wobei sie dafür wohl die persönlichen Möglichkeiten nicht mitbringe. Im Arztbericht vom 15. Oktober 2009 hatte der Hausarzt Dr. C.___ die Arbeitsfähigkeit in sitzenden und wechselbelastenden Tätigkeiten auf 30-50% geschätzt und als einschränkend die rheumatische Erkrankung sowie eine verminderte Konzentrationsfähigkeit und eine erhöhte Ermüdbarkeit, welche nicht zuletzt von der Medikation herrühre, festgehalten (act. G 5.1.35-3ff.). 4.6    Damit weicht das SMAB-Gutachten nicht bezüglich der Feststellungen, sondern nur in Bezug auf die Beurteilung der Höhe der zumutbaren Arbeitsfähigkeit von den Einschätzungen der behandelnden Ärzte ab. Zu dieser Diskrepanz hält das rheumatologische Teilgutachten vom 7. Juni 2010 fest, bei dem eher diskreten entzündlichen Gelenksbild ohne Anzeichen destruktiver Veränderungen oder funktioneller Ausfälle erscheine doch eine erhöhte Arbeitsfähigkeit möglich. Obschon die Beschwerdeführerin nicht auffallende Anzeichen einer psychogenen Überlagerung erkennen lasse, scheine ihre subjektive Schmerzbewertung gemessen am objektiven Zustand etwas zu gewichtig. Allerdings bestätige sie auf gezieltes Befragen hinsichtlich der Selbstbeurteilung ihrer Arbeitsfähigkeit, dass sie sich schwere Arbeit wie früher an Maschinen nicht mehr denken könne, hingegen leichtere möglich sein sollten (act. G 5.1.48-37). Auch das Gesamtgutachten hält eine Diskrepanz zwischen den geklagten Beschwerden der Beschwerdeführerin und den offensichtlich aktuell nicht sehr ausgeprägten Schmerzen im Bereich der Fingergrundgelenke links, der rechten Hüfte und des linken Sprunggelenks bei aktuell gutem Allgemeinzustand ohne sichtbaren Leidensausdruck fest. Anlässlich der klinischen Untersuchung habe keine eingenommene Schonhaltung wahr­genommen werden können und die allgemeine Beweglichkeit scheine sehr gut zu sein. Das Aus- und Anziehen der Kleider gelinge stehend problemlos und rasch. Die Beschwerdeführerin wirke auch nicht müde, obwohl sie sich am Vormittag bereits der rheumatologischen Untersuchung und nach einer einstündigen Mittagspause der aktuellen internistischen Untersuchung, welche insgesamt über zwei Stunden gedauert habe, unterzogen habe (act. G 5.1.48-12). Die gutachterliche Beurteilung erscheint in sich konkludent und nachvollziehbar. Bei ihrer Würdigung fällt weiter ins Gewicht, dass sie auf eigenständigen Abklärungen beruht und für die streitigen Belange umfassend ist. Die medizinischen Vorakten wurden verwertet und die von der Beschwerdeführerin geklagten Beschwerden berücksichtigt und gewürdigt. Die Attestierung einer 100%igen Arbeitsfähigkeit für leidensadaptierte Tätigkeiten (d.h. leichte körperlich und insbesondere die Hände nicht belastende Tätigkeiten wie Kontrollarbeiten, Telefonbedienung etc.) leuchtet in der Darlegung der medizinischen Zusammenhänge und in der Beurteilung der medizinischen Situation ein, zumal auch Dr. F.___ für sehr leichte Tätigkeiten mit den Händen - wozu er kaufmännische Tätigkeiten mit geringen Belastungen oder eine Tätigkeit am Telefon mit Kopfhörern zählt - eine mögliche Arbeitsfähigkeit von 60 bis 80% einräumt. Weiter bestehen keine Anhaltspunkte dafür, dass objektiv wesentliche Tatsachen nicht berücksichtigt worden wären. Damit geht einher, dass auch die Beschwerdeführerin keine wesentlichen Mängel an der Begutachtung ins Feld führt. Die Beschwerdegegnerin hat damit der Bestimmung des Invaliditätsgrades in der angefochtenen Verfügung zu Recht die gutachterliche Leistungsfähigkeitsbeurteilung zugrunde gelegt.</w:t>
      </w:r>
    </w:p>
    <w:p>
      <w:r>
        <w:rPr>
          <w:b/>
        </w:rPr>
        <w:t>E. 5</w:t>
      </w:r>
    </w:p>
    <w:p>
      <w:r>
        <w:t>5.1    Gestützt auf die gutachterliche Beurteilung der SMAB ist demnach von einer medizinisch-theoretischen 100%igen Restarbeitsfähigkeit für leidensangepasste Tätigkeiten auszugehen. 5.2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Wie die Beschwerdeführerin im Fragebogen zur Rentenabklärung betreffend Erwerbstätigkeit/Haushalt am 26. August 2010 angab (vgl. act. G 5.1.50-2), ist davon auszugehen, dass sie im Gesundheitsfall wieder einer Erwerbstätigkeit von 80% nachgehen würde. Dies hat ihr auch die Beschwerdegegnerin in der Beschwerdeantwort vom 7. Juni 2011 zugestanden. Zudem erscheint dieses Pensum bereits mit Blick auf die prekäre finanzielle Lage der Beschwerdeführerin als überwiegend wahrscheinlich sowie gestützt auf den Umstand, dass der Sohn das Schulalter erreicht hat und durch Mittagstisch und Grossvater eine genügende Betreuung gesichert wäre. 5.3    Hinsichtlich der erwerblichen Tätigkeit besteht für die Bestimmung des Valideneinkommens keine repräsentative Grundlage. Wie die Beschwerdegegnerin zutreffend ausführt (act. G 5), ist daher sowohl für das Valideneinkommen als auch für das Invalideneinkommen auf die Tabelle TA1 der Schweizerischen Lohnstrukturerhebung (LSE) des Bundesamtes für Statistik, Total sämtlicher Wirtschaftszweige, Anforderungsniveau 4, Frauen, abzustellen. Da die beiden Vergleichseinkommen somit auf derselben Grundlage zu berechnen sind, kann ein Prozentvergleich vorgenommen werden. Zu klären ist damit lediglich noch die Frage der Höhe des Tabellenabzugs bei der Bestimmung des Invalideneinkommens. 5.3.1           Mit dem Tabellenabzug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5.3.2           Die Beschwerdegegnerin anerkannte im Beschwerdeverfahren einen 15%igen Abzug, weil die Beschwerdeführerin nur noch ein sehr eingeschränktes Spektrum von körperlich leichten Hilfstätigkeiten ausführen könne und damit im Vergleich zu einer gesunden Arbeitnehmerin mit einem Minderverdienst zu rechnen habe. Mit Blick darauf, dass der Beschwerdeführerin auf Grund ihrer Beschwerden an beiden Händen sowie einer fehlenden Ausbildung v.a. in einer hier wohl eher möglichen Bürotätigkeit eine sehr beschränkte Auswahl an adaptierten Tätigkeiten zur Verfügung steht, erscheint ein Leidensabzug von 15% gerechtfertigt. Bei der Vornahme eines Leidensabzugs von 15% resultiert im Erwerbsbereich ein Teilinvaliditätsgrad von 12% (0.8 x 15%). 5.4    Hinsichtlich der Einschränkung im Haushalt fand am 22. Oktober 2010 eine Abklärung vor Ort statt (act. G 5.1.52). Gemäss dem Abklärungsbericht vom 12. November 2010 wurde eine Einschränkung von 25% ermittelt, welche die Beschwerdegegnerin im Beschwerdeverfahren als plausibel erachtete und welche die Beschwerdeführerin ebenfalls nicht beanstandet hat. Anhaltspunkte für eine Nicht- bzw. Falschberücksichtigung der Angaben der Beschwerdeführerin sind vorliegend keine ersichtlich. Zudem zeigt sich der Berichtstext als plausibel, begründet und angemessen detailliert bezüglich der einzelnen Einschränkungen (vgl. in der Amtlichen Sammlung nicht veröffentlichte, aber in AHI 2003 S. 218 publizierte E. 2.3.2 des Urteils BGE 129 V 67 [I 90/02 vom 30. Dezember 2002]). Damit beträgt die Invalidität im Haushaltsbereich bei einem 20%igen Anteil 5% (0.2 x 25%). 5.5    Gemäss der gemischten Methode (Art. 28a Abs. 3 IVG) nach Praxis des Bundesgerichts ergibt sich in der Folge ein Invaliditätsgrad von insgesamt 17% (12% + 5%), weshalb die Abweisung des Rentenbegehrens nicht zu beanstanden ist.</w:t>
      </w:r>
    </w:p>
    <w:p>
      <w:r>
        <w:rPr>
          <w:b/>
        </w:rPr>
        <w:t>E. 6</w:t>
      </w:r>
    </w:p>
    <w:p>
      <w:r>
        <w:t>6.1    Nach dem Gesagten ist die Beschwerde abzuweisen. 6.2    Der Beschwerdeführerin wurde das Gesuch um Befreiung von den Gerichtskosten am 10. Juni 2011 bewilligt (act. G 6). Wenn die wirtschaftlichen Verhältnisse der Beschwerdeführerin es gestatten, kann sie jedoch zur Nachzahlung der Gerichtskosten verpflichtet werden (Art. 123 Abs. 1 des Bundesgesetzes über die Zivilprozessordnung [ZPO; SR 272] i.V.m. Art. 99 Abs. 2 VRP/SG).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Demgemäss hat das Versicherungsgericht im Zirkulationsverfahren gemäss Art. 39 VRP entschieden: 1.       Die Beschwerde wird abgewiesen. 2.       Die Beschwerdeführerin wird im Sinn der Erwägungen von der Bezahlung der Gerichtskosten von Fr. 600.-- befreit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